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320" w:type="dxa"/>
        <w:tblLook w:val="04A0" w:firstRow="1" w:lastRow="0" w:firstColumn="1" w:lastColumn="0" w:noHBand="0" w:noVBand="1"/>
      </w:tblPr>
      <w:tblGrid>
        <w:gridCol w:w="3375"/>
        <w:gridCol w:w="4047"/>
        <w:gridCol w:w="4008"/>
      </w:tblGrid>
      <w:tr w:rsidR="002609BA" w14:paraId="5C982307" w14:textId="77777777" w:rsidTr="00B04A8E">
        <w:tc>
          <w:tcPr>
            <w:tcW w:w="11430" w:type="dxa"/>
            <w:gridSpan w:val="3"/>
            <w:shd w:val="clear" w:color="auto" w:fill="E2EFD9" w:themeFill="accent6" w:themeFillTint="33"/>
          </w:tcPr>
          <w:p w14:paraId="65572E4D" w14:textId="3AD839E2" w:rsidR="002609BA" w:rsidRPr="002609BA" w:rsidRDefault="002609BA" w:rsidP="002609BA">
            <w:pPr>
              <w:jc w:val="center"/>
              <w:rPr>
                <w:b/>
                <w:bCs/>
                <w:sz w:val="40"/>
                <w:szCs w:val="40"/>
              </w:rPr>
            </w:pPr>
            <w:r w:rsidRPr="002609BA">
              <w:rPr>
                <w:b/>
                <w:bCs/>
                <w:sz w:val="40"/>
                <w:szCs w:val="40"/>
              </w:rPr>
              <w:t>Office of the Controller Job Aid</w:t>
            </w:r>
          </w:p>
        </w:tc>
      </w:tr>
      <w:tr w:rsidR="00F367D7" w14:paraId="7BC8E115" w14:textId="3FB80CE0" w:rsidTr="00B04A8E">
        <w:tc>
          <w:tcPr>
            <w:tcW w:w="3375" w:type="dxa"/>
            <w:shd w:val="clear" w:color="auto" w:fill="E2EFD9" w:themeFill="accent6" w:themeFillTint="33"/>
          </w:tcPr>
          <w:p w14:paraId="5CA03AE5" w14:textId="30FFC555" w:rsidR="00F367D7" w:rsidRPr="002E4873" w:rsidRDefault="00F367D7" w:rsidP="002609BA">
            <w:pPr>
              <w:jc w:val="center"/>
              <w:rPr>
                <w:b/>
                <w:bCs/>
                <w:sz w:val="32"/>
                <w:szCs w:val="32"/>
              </w:rPr>
            </w:pPr>
            <w:r w:rsidRPr="002E4873">
              <w:rPr>
                <w:b/>
                <w:bCs/>
                <w:sz w:val="32"/>
                <w:szCs w:val="32"/>
              </w:rPr>
              <w:t>Responsible Unit</w:t>
            </w:r>
          </w:p>
        </w:tc>
        <w:sdt>
          <w:sdtPr>
            <w:rPr>
              <w:b/>
              <w:bCs/>
              <w:sz w:val="40"/>
              <w:szCs w:val="40"/>
            </w:rPr>
            <w:alias w:val="Select"/>
            <w:tag w:val="Select"/>
            <w:id w:val="1467321450"/>
            <w:placeholder>
              <w:docPart w:val="9CA2D99F9DEE4484A9FEDD09AA78D061"/>
            </w:placeholder>
            <w:dropDownList>
              <w:listItem w:value="Choose an item."/>
              <w:listItem w:displayText="Disbursements" w:value="Disbursements"/>
              <w:listItem w:displayText="General Accounting" w:value="General Accounting"/>
              <w:listItem w:displayText="Payroll" w:value="Payroll"/>
              <w:listItem w:displayText="Financial Reporting" w:value="Financial Reporting"/>
              <w:listItem w:displayText="Student Financials" w:value="Student Financials"/>
            </w:dropDownList>
          </w:sdtPr>
          <w:sdtEndPr/>
          <w:sdtContent>
            <w:tc>
              <w:tcPr>
                <w:tcW w:w="4047" w:type="dxa"/>
                <w:shd w:val="clear" w:color="auto" w:fill="auto"/>
              </w:tcPr>
              <w:p w14:paraId="331D0801" w14:textId="536D48E1" w:rsidR="00F367D7" w:rsidRPr="002609BA" w:rsidRDefault="00D11527" w:rsidP="002609BA">
                <w:pPr>
                  <w:jc w:val="center"/>
                  <w:rPr>
                    <w:b/>
                    <w:bCs/>
                    <w:sz w:val="40"/>
                    <w:szCs w:val="40"/>
                  </w:rPr>
                </w:pPr>
                <w:r>
                  <w:rPr>
                    <w:b/>
                    <w:bCs/>
                    <w:sz w:val="40"/>
                    <w:szCs w:val="40"/>
                  </w:rPr>
                  <w:t>Payroll</w:t>
                </w:r>
              </w:p>
            </w:tc>
          </w:sdtContent>
        </w:sdt>
        <w:tc>
          <w:tcPr>
            <w:tcW w:w="4008" w:type="dxa"/>
            <w:shd w:val="clear" w:color="auto" w:fill="auto"/>
          </w:tcPr>
          <w:p w14:paraId="12D2C3D8" w14:textId="1F6C43B9" w:rsidR="00F367D7" w:rsidRPr="002609BA" w:rsidRDefault="00C80346" w:rsidP="00F367D7">
            <w:pPr>
              <w:jc w:val="center"/>
              <w:rPr>
                <w:b/>
                <w:bCs/>
                <w:sz w:val="40"/>
                <w:szCs w:val="40"/>
              </w:rPr>
            </w:pPr>
            <w:r>
              <w:rPr>
                <w:b/>
                <w:bCs/>
                <w:sz w:val="40"/>
                <w:szCs w:val="40"/>
              </w:rPr>
              <w:t>August</w:t>
            </w:r>
            <w:r w:rsidR="00D11527">
              <w:rPr>
                <w:b/>
                <w:bCs/>
                <w:sz w:val="40"/>
                <w:szCs w:val="40"/>
              </w:rPr>
              <w:t xml:space="preserve"> 3</w:t>
            </w:r>
            <w:r>
              <w:rPr>
                <w:b/>
                <w:bCs/>
                <w:sz w:val="40"/>
                <w:szCs w:val="40"/>
              </w:rPr>
              <w:t>rd</w:t>
            </w:r>
            <w:r w:rsidR="00D11527">
              <w:rPr>
                <w:b/>
                <w:bCs/>
                <w:sz w:val="40"/>
                <w:szCs w:val="40"/>
              </w:rPr>
              <w:t>, 2023</w:t>
            </w:r>
          </w:p>
        </w:tc>
      </w:tr>
      <w:tr w:rsidR="00364B28" w14:paraId="53D49E77" w14:textId="77777777" w:rsidTr="00B04A8E">
        <w:tc>
          <w:tcPr>
            <w:tcW w:w="3375" w:type="dxa"/>
            <w:shd w:val="clear" w:color="auto" w:fill="E2EFD9" w:themeFill="accent6" w:themeFillTint="33"/>
          </w:tcPr>
          <w:p w14:paraId="3914797C" w14:textId="7FA77401" w:rsidR="00364B28" w:rsidRPr="002E4873" w:rsidRDefault="00364B28" w:rsidP="002609BA">
            <w:pPr>
              <w:jc w:val="center"/>
              <w:rPr>
                <w:b/>
                <w:bCs/>
                <w:sz w:val="32"/>
                <w:szCs w:val="32"/>
              </w:rPr>
            </w:pPr>
            <w:r>
              <w:rPr>
                <w:b/>
                <w:bCs/>
                <w:sz w:val="32"/>
                <w:szCs w:val="32"/>
              </w:rPr>
              <w:t>Title</w:t>
            </w:r>
          </w:p>
        </w:tc>
        <w:tc>
          <w:tcPr>
            <w:tcW w:w="8055" w:type="dxa"/>
            <w:gridSpan w:val="2"/>
            <w:shd w:val="clear" w:color="auto" w:fill="auto"/>
          </w:tcPr>
          <w:p w14:paraId="618559D8" w14:textId="65E29D68" w:rsidR="00364B28" w:rsidRPr="007515FC" w:rsidRDefault="00D11527" w:rsidP="002609BA">
            <w:pPr>
              <w:jc w:val="center"/>
              <w:rPr>
                <w:i/>
                <w:iCs/>
                <w:sz w:val="40"/>
                <w:szCs w:val="40"/>
              </w:rPr>
            </w:pPr>
            <w:r>
              <w:rPr>
                <w:i/>
                <w:iCs/>
                <w:sz w:val="40"/>
                <w:szCs w:val="40"/>
              </w:rPr>
              <w:t>Retro</w:t>
            </w:r>
            <w:r w:rsidR="003B189F">
              <w:rPr>
                <w:i/>
                <w:iCs/>
                <w:sz w:val="40"/>
                <w:szCs w:val="40"/>
              </w:rPr>
              <w:t xml:space="preserve"> </w:t>
            </w:r>
            <w:r>
              <w:rPr>
                <w:i/>
                <w:iCs/>
                <w:sz w:val="40"/>
                <w:szCs w:val="40"/>
              </w:rPr>
              <w:t>Pay</w:t>
            </w:r>
          </w:p>
        </w:tc>
      </w:tr>
    </w:tbl>
    <w:p w14:paraId="7E934F21" w14:textId="3ADEAE52" w:rsidR="000E5D45" w:rsidRDefault="000E5D45"/>
    <w:p w14:paraId="2040E19A" w14:textId="33437944" w:rsidR="00D11527" w:rsidRPr="00E82F4B" w:rsidRDefault="00D11527" w:rsidP="00D11527">
      <w:pPr>
        <w:rPr>
          <w:rFonts w:cstheme="minorHAnsi"/>
          <w:sz w:val="28"/>
          <w:szCs w:val="28"/>
        </w:rPr>
      </w:pPr>
      <w:r w:rsidRPr="00E82F4B">
        <w:rPr>
          <w:rFonts w:cstheme="minorHAnsi"/>
          <w:sz w:val="28"/>
          <w:szCs w:val="28"/>
        </w:rPr>
        <w:t xml:space="preserve">Departments are responsible for submitting employee actions to be processed in eUMB HRMS system.  Occasionally employees may be due positive or negative retro pay because of a pay rate change that took effect in the past.  After an employee action is fully approved and loaded in employee’s Job Page, The Office </w:t>
      </w:r>
      <w:proofErr w:type="gramStart"/>
      <w:r w:rsidRPr="00E82F4B">
        <w:rPr>
          <w:rFonts w:cstheme="minorHAnsi"/>
          <w:sz w:val="28"/>
          <w:szCs w:val="28"/>
        </w:rPr>
        <w:t>Of</w:t>
      </w:r>
      <w:proofErr w:type="gramEnd"/>
      <w:r w:rsidRPr="00E82F4B">
        <w:rPr>
          <w:rFonts w:cstheme="minorHAnsi"/>
          <w:sz w:val="28"/>
          <w:szCs w:val="28"/>
        </w:rPr>
        <w:t xml:space="preserve"> The Controller- Payroll Services (OOTC-PS) will run a retro pay calculation in next payroll processing week to determine the amount owed to an employee (if pay rate increased) or an overpayment (if pay rate decreased).  Departments must validate the retro pay calculation generated by eUMB.   </w:t>
      </w:r>
    </w:p>
    <w:p w14:paraId="60D33C76" w14:textId="77777777" w:rsidR="00D11527" w:rsidRPr="00E82F4B" w:rsidRDefault="00D11527" w:rsidP="00D11527">
      <w:pPr>
        <w:pStyle w:val="ListParagraph"/>
        <w:numPr>
          <w:ilvl w:val="0"/>
          <w:numId w:val="1"/>
        </w:numPr>
        <w:spacing w:after="160" w:line="259" w:lineRule="auto"/>
        <w:rPr>
          <w:rFonts w:asciiTheme="minorHAnsi" w:hAnsiTheme="minorHAnsi" w:cstheme="minorHAnsi"/>
          <w:sz w:val="28"/>
          <w:szCs w:val="28"/>
        </w:rPr>
      </w:pPr>
      <w:r w:rsidRPr="00E82F4B">
        <w:rPr>
          <w:rFonts w:asciiTheme="minorHAnsi" w:hAnsiTheme="minorHAnsi" w:cstheme="minorHAnsi"/>
          <w:sz w:val="28"/>
          <w:szCs w:val="28"/>
        </w:rPr>
        <w:t>Positive retro pay (Pay rate increase):</w:t>
      </w:r>
    </w:p>
    <w:p w14:paraId="22C36F15" w14:textId="77777777" w:rsidR="00D11527" w:rsidRPr="00E82F4B" w:rsidRDefault="00D11527" w:rsidP="00D11527">
      <w:pPr>
        <w:rPr>
          <w:rFonts w:cstheme="minorHAnsi"/>
          <w:sz w:val="28"/>
          <w:szCs w:val="28"/>
        </w:rPr>
      </w:pPr>
      <w:r w:rsidRPr="00E82F4B">
        <w:rPr>
          <w:rFonts w:cstheme="minorHAnsi"/>
          <w:sz w:val="28"/>
          <w:szCs w:val="28"/>
        </w:rPr>
        <w:t xml:space="preserve">OOTC-PS can only pay retro pay due to pay rate increase when the action is loaded onto employee’s Job Page.  As eUMB will calculate the amount due to employee, no Payroll Adjustment Form (PAF) is needed for processing unless the retro amount from the system calculation is incorrect.  In that case, department is required to submit a PAF to correct the amount.  We cannot process or pay positive retro pay before the new rate is loaded on employee’s Job page. </w:t>
      </w:r>
    </w:p>
    <w:p w14:paraId="33984980" w14:textId="77777777" w:rsidR="00D11527" w:rsidRPr="00E82F4B" w:rsidRDefault="00D11527" w:rsidP="00D11527">
      <w:pPr>
        <w:pStyle w:val="ListParagraph"/>
        <w:numPr>
          <w:ilvl w:val="0"/>
          <w:numId w:val="1"/>
        </w:numPr>
        <w:spacing w:after="160" w:line="259" w:lineRule="auto"/>
        <w:rPr>
          <w:rFonts w:asciiTheme="minorHAnsi" w:hAnsiTheme="minorHAnsi" w:cstheme="minorHAnsi"/>
          <w:sz w:val="28"/>
          <w:szCs w:val="28"/>
        </w:rPr>
      </w:pPr>
      <w:r w:rsidRPr="00E82F4B">
        <w:rPr>
          <w:rFonts w:asciiTheme="minorHAnsi" w:hAnsiTheme="minorHAnsi" w:cstheme="minorHAnsi"/>
          <w:sz w:val="28"/>
          <w:szCs w:val="28"/>
        </w:rPr>
        <w:t>Negative retro pay (Pay rate decrease):</w:t>
      </w:r>
    </w:p>
    <w:p w14:paraId="1F296B5B" w14:textId="7141018C" w:rsidR="00D11527" w:rsidRPr="00C80346" w:rsidRDefault="00D11527" w:rsidP="00D11527">
      <w:pPr>
        <w:rPr>
          <w:rFonts w:cstheme="minorHAnsi"/>
          <w:sz w:val="24"/>
          <w:szCs w:val="24"/>
        </w:rPr>
      </w:pPr>
      <w:r w:rsidRPr="00E82F4B">
        <w:rPr>
          <w:rFonts w:cstheme="minorHAnsi"/>
          <w:sz w:val="28"/>
          <w:szCs w:val="28"/>
        </w:rPr>
        <w:t>Normally negative retro pay is calculated by the retro pay calculation process.  The negative retro</w:t>
      </w:r>
      <w:r w:rsidR="003B189F" w:rsidRPr="00E82F4B">
        <w:rPr>
          <w:rFonts w:cstheme="minorHAnsi"/>
          <w:sz w:val="28"/>
          <w:szCs w:val="28"/>
        </w:rPr>
        <w:t xml:space="preserve"> </w:t>
      </w:r>
      <w:r w:rsidRPr="00E82F4B">
        <w:rPr>
          <w:rFonts w:cstheme="minorHAnsi"/>
          <w:sz w:val="28"/>
          <w:szCs w:val="28"/>
        </w:rPr>
        <w:t>pay will be deducted from employee’s paycheck.  If the system calculated negative retro</w:t>
      </w:r>
      <w:r w:rsidR="003B189F" w:rsidRPr="00E82F4B">
        <w:rPr>
          <w:rFonts w:cstheme="minorHAnsi"/>
          <w:sz w:val="28"/>
          <w:szCs w:val="28"/>
        </w:rPr>
        <w:t xml:space="preserve"> </w:t>
      </w:r>
      <w:r w:rsidRPr="00E82F4B">
        <w:rPr>
          <w:rFonts w:cstheme="minorHAnsi"/>
          <w:sz w:val="28"/>
          <w:szCs w:val="28"/>
        </w:rPr>
        <w:t>pay amount is greater than employee’s regular pay, OOTC-PS will need to turn off the negative retro</w:t>
      </w:r>
      <w:r w:rsidR="003B189F" w:rsidRPr="00E82F4B">
        <w:rPr>
          <w:rFonts w:cstheme="minorHAnsi"/>
          <w:sz w:val="28"/>
          <w:szCs w:val="28"/>
        </w:rPr>
        <w:t xml:space="preserve"> </w:t>
      </w:r>
      <w:r w:rsidRPr="00E82F4B">
        <w:rPr>
          <w:rFonts w:cstheme="minorHAnsi"/>
          <w:sz w:val="28"/>
          <w:szCs w:val="28"/>
        </w:rPr>
        <w:t>pay on employee’s paycheck</w:t>
      </w:r>
      <w:r w:rsidR="003B189F" w:rsidRPr="00E82F4B">
        <w:rPr>
          <w:rFonts w:cstheme="minorHAnsi"/>
          <w:sz w:val="28"/>
          <w:szCs w:val="28"/>
        </w:rPr>
        <w:t xml:space="preserve"> as employee cannot have negative paycheck</w:t>
      </w:r>
      <w:r w:rsidRPr="00E82F4B">
        <w:rPr>
          <w:rFonts w:cstheme="minorHAnsi"/>
          <w:sz w:val="28"/>
          <w:szCs w:val="28"/>
        </w:rPr>
        <w:t xml:space="preserve">.  </w:t>
      </w:r>
      <w:r w:rsidR="003B189F" w:rsidRPr="00E82F4B">
        <w:rPr>
          <w:rFonts w:cstheme="minorHAnsi"/>
          <w:sz w:val="28"/>
          <w:szCs w:val="28"/>
        </w:rPr>
        <w:t>In that case, t</w:t>
      </w:r>
      <w:r w:rsidRPr="00E82F4B">
        <w:rPr>
          <w:rFonts w:cstheme="minorHAnsi"/>
          <w:sz w:val="28"/>
          <w:szCs w:val="28"/>
        </w:rPr>
        <w:t xml:space="preserve">he department will be notified.  Department will have to start preparing a Compensation Overpayment Form (COF) packet to recoup the overpayment.  Payroll deductions will be checked on the COF as the option to recoup the overpayment in the next and agreed subsequent pay periods.  The COF must be submitted within 30 days.  Subsequent follow up emails will be copied to the Department Administrator and the Dean’s office. </w:t>
      </w:r>
    </w:p>
    <w:p w14:paraId="13084BB7" w14:textId="77777777" w:rsidR="00D11527" w:rsidRPr="00C80346" w:rsidRDefault="00D11527" w:rsidP="00D11527">
      <w:pPr>
        <w:rPr>
          <w:rFonts w:cstheme="minorHAnsi"/>
          <w:sz w:val="24"/>
          <w:szCs w:val="24"/>
        </w:rPr>
      </w:pPr>
      <w:r w:rsidRPr="00C80346">
        <w:rPr>
          <w:rFonts w:cstheme="minorHAnsi"/>
          <w:sz w:val="24"/>
          <w:szCs w:val="24"/>
        </w:rPr>
        <w:t xml:space="preserve">  </w:t>
      </w:r>
    </w:p>
    <w:p w14:paraId="404D7429" w14:textId="77777777" w:rsidR="00D11527" w:rsidRPr="00C80346" w:rsidRDefault="00D11527" w:rsidP="00D11527">
      <w:pPr>
        <w:rPr>
          <w:sz w:val="24"/>
          <w:szCs w:val="24"/>
        </w:rPr>
      </w:pPr>
    </w:p>
    <w:p w14:paraId="766E2A13" w14:textId="77777777" w:rsidR="00D11527" w:rsidRPr="00C80346" w:rsidRDefault="00D11527" w:rsidP="00D11527">
      <w:pPr>
        <w:rPr>
          <w:b/>
          <w:sz w:val="24"/>
          <w:szCs w:val="24"/>
          <w:u w:val="single"/>
        </w:rPr>
      </w:pPr>
    </w:p>
    <w:p w14:paraId="0BD25CDA" w14:textId="77777777" w:rsidR="00D11527" w:rsidRPr="00C80346" w:rsidRDefault="00D11527">
      <w:pPr>
        <w:rPr>
          <w:sz w:val="24"/>
          <w:szCs w:val="24"/>
        </w:rPr>
      </w:pPr>
    </w:p>
    <w:sectPr w:rsidR="00D11527" w:rsidRPr="00C80346" w:rsidSect="00B04A8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F9C6" w14:textId="77777777" w:rsidR="00141B68" w:rsidRDefault="00141B68" w:rsidP="002609BA">
      <w:pPr>
        <w:spacing w:after="0" w:line="240" w:lineRule="auto"/>
      </w:pPr>
      <w:r>
        <w:separator/>
      </w:r>
    </w:p>
  </w:endnote>
  <w:endnote w:type="continuationSeparator" w:id="0">
    <w:p w14:paraId="3386329B" w14:textId="77777777" w:rsidR="00141B68" w:rsidRDefault="00141B68" w:rsidP="002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5D7" w14:textId="77777777" w:rsidR="00141B68" w:rsidRDefault="00141B68" w:rsidP="002609BA">
      <w:pPr>
        <w:spacing w:after="0" w:line="240" w:lineRule="auto"/>
      </w:pPr>
      <w:r>
        <w:separator/>
      </w:r>
    </w:p>
  </w:footnote>
  <w:footnote w:type="continuationSeparator" w:id="0">
    <w:p w14:paraId="6BC5EA30" w14:textId="77777777" w:rsidR="00141B68" w:rsidRDefault="00141B68" w:rsidP="0026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1B4" w14:textId="78D2EBCD" w:rsidR="002609BA" w:rsidRDefault="002609BA">
    <w:pPr>
      <w:pStyle w:val="Header"/>
    </w:pPr>
    <w:r>
      <w:rPr>
        <w:noProof/>
        <w:color w:val="FF0000"/>
        <w:sz w:val="40"/>
        <w:szCs w:val="40"/>
      </w:rPr>
      <mc:AlternateContent>
        <mc:Choice Requires="wps">
          <w:drawing>
            <wp:anchor distT="0" distB="0" distL="114300" distR="114300" simplePos="0" relativeHeight="251659264" behindDoc="0" locked="0" layoutInCell="1" allowOverlap="1" wp14:anchorId="4EAD12CE" wp14:editId="119A9013">
              <wp:simplePos x="0" y="0"/>
              <wp:positionH relativeFrom="column">
                <wp:posOffset>4419600</wp:posOffset>
              </wp:positionH>
              <wp:positionV relativeFrom="paragraph">
                <wp:posOffset>66675</wp:posOffset>
              </wp:positionV>
              <wp:extent cx="19240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wps:spPr>
                    <wps:txbx>
                      <w:txbxContent>
                        <w:p w14:paraId="5C0D2F6E" w14:textId="102F840C" w:rsidR="002609BA" w:rsidRDefault="002609BA">
                          <w:r>
                            <w:rPr>
                              <w:rFonts w:ascii="Franklin Gothic Book" w:hAnsi="Franklin Gothic Book" w:cs="GothamNarrow-MediumItalic"/>
                              <w:b/>
                              <w:iCs/>
                              <w:sz w:val="16"/>
                              <w:szCs w:val="16"/>
                            </w:rPr>
                            <w:t>ADMINISTRATION AND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D12CE" id="_x0000_t202" coordsize="21600,21600" o:spt="202" path="m,l,21600r21600,l21600,xe">
              <v:stroke joinstyle="miter"/>
              <v:path gradientshapeok="t" o:connecttype="rect"/>
            </v:shapetype>
            <v:shape id="Text Box 1" o:spid="_x0000_s1026" type="#_x0000_t202" style="position:absolute;margin-left:348pt;margin-top:5.25pt;width:15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" fillcolor="white [3201]" stroked="f" strokeweight=".5pt">
              <v:textbox>
                <w:txbxContent>
                  <w:p w14:paraId="5C0D2F6E" w14:textId="102F840C" w:rsidR="002609BA" w:rsidRDefault="002609BA">
                    <w:r>
                      <w:rPr>
                        <w:rFonts w:ascii="Franklin Gothic Book" w:hAnsi="Franklin Gothic Book" w:cs="GothamNarrow-MediumItalic"/>
                        <w:b/>
                        <w:iCs/>
                        <w:sz w:val="16"/>
                        <w:szCs w:val="16"/>
                      </w:rPr>
                      <w:t>ADMINISTRATION AND FINANCE</w:t>
                    </w:r>
                  </w:p>
                </w:txbxContent>
              </v:textbox>
            </v:shape>
          </w:pict>
        </mc:Fallback>
      </mc:AlternateContent>
    </w:r>
    <w:r w:rsidRPr="00DA7552">
      <w:rPr>
        <w:noProof/>
        <w:color w:val="FF0000"/>
        <w:sz w:val="40"/>
        <w:szCs w:val="40"/>
      </w:rPr>
      <w:drawing>
        <wp:inline distT="0" distB="0" distL="0" distR="0" wp14:anchorId="0B58E785" wp14:editId="6CB699E7">
          <wp:extent cx="1914525" cy="458435"/>
          <wp:effectExtent l="0" t="0" r="0" b="0"/>
          <wp:docPr id="3" name="Picture 3"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882" cy="476958"/>
                  </a:xfrm>
                  <a:prstGeom prst="rect">
                    <a:avLst/>
                  </a:prstGeom>
                  <a:noFill/>
                  <a:ln>
                    <a:noFill/>
                  </a:ln>
                </pic:spPr>
              </pic:pic>
            </a:graphicData>
          </a:graphic>
        </wp:inline>
      </w:drawing>
    </w:r>
  </w:p>
  <w:p w14:paraId="5A040A0E" w14:textId="77777777" w:rsidR="002609BA" w:rsidRDefault="002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22E"/>
    <w:multiLevelType w:val="hybridMultilevel"/>
    <w:tmpl w:val="1C98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86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A"/>
    <w:rsid w:val="000E5D45"/>
    <w:rsid w:val="00141B68"/>
    <w:rsid w:val="002609BA"/>
    <w:rsid w:val="00280888"/>
    <w:rsid w:val="002E4873"/>
    <w:rsid w:val="00364B28"/>
    <w:rsid w:val="003B189F"/>
    <w:rsid w:val="003B219B"/>
    <w:rsid w:val="00491369"/>
    <w:rsid w:val="007515FC"/>
    <w:rsid w:val="00972018"/>
    <w:rsid w:val="009D3CD5"/>
    <w:rsid w:val="00B04A8E"/>
    <w:rsid w:val="00C132AC"/>
    <w:rsid w:val="00C80346"/>
    <w:rsid w:val="00D11527"/>
    <w:rsid w:val="00D8049B"/>
    <w:rsid w:val="00E82F4B"/>
    <w:rsid w:val="00F3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3A9F"/>
  <w15:chartTrackingRefBased/>
  <w15:docId w15:val="{7FD96F6E-626A-4E0E-9550-80A578E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BA"/>
  </w:style>
  <w:style w:type="paragraph" w:styleId="Footer">
    <w:name w:val="footer"/>
    <w:basedOn w:val="Normal"/>
    <w:link w:val="FooterChar"/>
    <w:uiPriority w:val="99"/>
    <w:unhideWhenUsed/>
    <w:rsid w:val="0026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BA"/>
  </w:style>
  <w:style w:type="table" w:styleId="TableGrid">
    <w:name w:val="Table Grid"/>
    <w:basedOn w:val="TableNormal"/>
    <w:uiPriority w:val="39"/>
    <w:rsid w:val="0026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CD5"/>
    <w:rPr>
      <w:color w:val="808080"/>
    </w:rPr>
  </w:style>
  <w:style w:type="paragraph" w:styleId="ListParagraph">
    <w:name w:val="List Paragraph"/>
    <w:basedOn w:val="Normal"/>
    <w:uiPriority w:val="34"/>
    <w:qFormat/>
    <w:rsid w:val="00D11527"/>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2D99F9DEE4484A9FEDD09AA78D061"/>
        <w:category>
          <w:name w:val="General"/>
          <w:gallery w:val="placeholder"/>
        </w:category>
        <w:types>
          <w:type w:val="bbPlcHdr"/>
        </w:types>
        <w:behaviors>
          <w:behavior w:val="content"/>
        </w:behaviors>
        <w:guid w:val="{088FB2AC-0CCB-42A8-80EC-76BB006ED03B}"/>
      </w:docPartPr>
      <w:docPartBody>
        <w:p w:rsidR="001F7BDB" w:rsidRDefault="003A10D3" w:rsidP="003A10D3">
          <w:pPr>
            <w:pStyle w:val="9CA2D99F9DEE4484A9FEDD09AA78D061"/>
          </w:pPr>
          <w:r w:rsidRPr="002408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D3"/>
    <w:rsid w:val="001F7BDB"/>
    <w:rsid w:val="003A10D3"/>
    <w:rsid w:val="0083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D3"/>
    <w:rPr>
      <w:color w:val="808080"/>
    </w:rPr>
  </w:style>
  <w:style w:type="paragraph" w:customStyle="1" w:styleId="9CA2D99F9DEE4484A9FEDD09AA78D061">
    <w:name w:val="9CA2D99F9DEE4484A9FEDD09AA78D061"/>
    <w:rsid w:val="003A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Cynthia</dc:creator>
  <cp:keywords/>
  <dc:description/>
  <cp:lastModifiedBy>Chow, Candace</cp:lastModifiedBy>
  <cp:revision>2</cp:revision>
  <dcterms:created xsi:type="dcterms:W3CDTF">2023-08-03T17:17:00Z</dcterms:created>
  <dcterms:modified xsi:type="dcterms:W3CDTF">2023-08-03T17:17:00Z</dcterms:modified>
</cp:coreProperties>
</file>